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EF" w:rsidRPr="00AF77EF" w:rsidRDefault="00AF77EF" w:rsidP="00AF77EF">
      <w:pPr>
        <w:spacing w:after="240"/>
        <w:rPr>
          <w:rFonts w:eastAsia="Times New Roman"/>
          <w:lang w:eastAsia="en-GB"/>
        </w:rPr>
      </w:pPr>
      <w:r w:rsidRPr="00AF77EF">
        <w:rPr>
          <w:rFonts w:eastAsia="Times New Roman"/>
          <w:b/>
          <w:bCs/>
          <w:color w:val="000000"/>
          <w:sz w:val="22"/>
          <w:szCs w:val="22"/>
          <w:lang w:eastAsia="en-GB"/>
        </w:rPr>
        <w:t>To the European Commission</w:t>
      </w:r>
    </w:p>
    <w:p w:rsidR="00F6291A" w:rsidRPr="00AF77EF" w:rsidRDefault="00F6291A" w:rsidP="00F6291A">
      <w:pPr>
        <w:rPr>
          <w:rFonts w:eastAsia="Times New Roman"/>
          <w:color w:val="000000"/>
          <w:sz w:val="22"/>
          <w:szCs w:val="22"/>
          <w:lang w:eastAsia="en-GB"/>
        </w:rPr>
      </w:pPr>
      <w:r w:rsidRPr="00AF77EF">
        <w:rPr>
          <w:rFonts w:eastAsia="Times New Roman"/>
          <w:b/>
          <w:color w:val="000000"/>
          <w:sz w:val="22"/>
          <w:szCs w:val="22"/>
          <w:lang w:eastAsia="en-GB"/>
        </w:rPr>
        <w:t>Margrethe Vestager</w:t>
      </w:r>
      <w:r w:rsidRPr="00AF77EF">
        <w:rPr>
          <w:rFonts w:eastAsia="Times New Roman"/>
          <w:color w:val="000000"/>
          <w:sz w:val="22"/>
          <w:szCs w:val="22"/>
          <w:lang w:eastAsia="en-GB"/>
        </w:rPr>
        <w:t xml:space="preserve">, Executive Vice-President </w:t>
      </w:r>
      <w:r w:rsidRPr="00AF77EF">
        <w:rPr>
          <w:rFonts w:eastAsia="Times New Roman"/>
          <w:i/>
          <w:color w:val="000000"/>
          <w:sz w:val="22"/>
          <w:szCs w:val="22"/>
          <w:lang w:eastAsia="en-GB"/>
        </w:rPr>
        <w:t>“A Europe Fit for the Digital Age”</w:t>
      </w:r>
    </w:p>
    <w:p w:rsidR="00AF77EF" w:rsidRDefault="00AF77EF" w:rsidP="00AF77EF">
      <w:pPr>
        <w:rPr>
          <w:rFonts w:eastAsia="Times New Roman"/>
          <w:color w:val="000000"/>
          <w:sz w:val="22"/>
          <w:szCs w:val="22"/>
          <w:lang w:eastAsia="en-GB"/>
        </w:rPr>
      </w:pPr>
      <w:r w:rsidRPr="00AF77EF">
        <w:rPr>
          <w:rFonts w:eastAsia="Times New Roman"/>
          <w:b/>
          <w:color w:val="000000"/>
          <w:sz w:val="22"/>
          <w:szCs w:val="22"/>
          <w:lang w:eastAsia="en-GB"/>
        </w:rPr>
        <w:t>Frans Timmermans,</w:t>
      </w:r>
      <w:r w:rsidRPr="00AF77EF">
        <w:rPr>
          <w:rFonts w:eastAsia="Times New Roman"/>
          <w:color w:val="000000"/>
          <w:sz w:val="22"/>
          <w:szCs w:val="22"/>
          <w:lang w:eastAsia="en-GB"/>
        </w:rPr>
        <w:t xml:space="preserve"> Executive Vice-President </w:t>
      </w:r>
      <w:r w:rsidRPr="00AF77EF">
        <w:rPr>
          <w:rFonts w:eastAsia="Times New Roman"/>
          <w:i/>
          <w:color w:val="000000"/>
          <w:sz w:val="22"/>
          <w:szCs w:val="22"/>
          <w:lang w:eastAsia="en-GB"/>
        </w:rPr>
        <w:t>“European Green Deal”</w:t>
      </w:r>
    </w:p>
    <w:p w:rsidR="00AF77EF" w:rsidRPr="00AF77EF" w:rsidRDefault="00AF77EF" w:rsidP="00AF77EF">
      <w:pPr>
        <w:rPr>
          <w:rFonts w:eastAsia="Times New Roman"/>
          <w:i/>
          <w:lang w:eastAsia="en-GB"/>
        </w:rPr>
      </w:pPr>
      <w:r w:rsidRPr="00AF77EF">
        <w:rPr>
          <w:rFonts w:eastAsia="Times New Roman"/>
          <w:b/>
          <w:color w:val="000000"/>
          <w:sz w:val="22"/>
          <w:szCs w:val="22"/>
          <w:lang w:eastAsia="en-GB"/>
        </w:rPr>
        <w:t>Valdis Dombrovskis</w:t>
      </w:r>
      <w:r w:rsidRPr="00AF77EF">
        <w:rPr>
          <w:rFonts w:eastAsia="Times New Roman"/>
          <w:color w:val="000000"/>
          <w:sz w:val="22"/>
          <w:szCs w:val="22"/>
          <w:lang w:eastAsia="en-GB"/>
        </w:rPr>
        <w:t xml:space="preserve">, Executive Vice-President </w:t>
      </w:r>
      <w:r w:rsidRPr="00AF77EF">
        <w:rPr>
          <w:rFonts w:eastAsia="Times New Roman"/>
          <w:i/>
          <w:color w:val="000000"/>
          <w:sz w:val="22"/>
          <w:szCs w:val="22"/>
          <w:lang w:eastAsia="en-GB"/>
        </w:rPr>
        <w:t>“An Economy that Works for People”</w:t>
      </w:r>
    </w:p>
    <w:p w:rsidR="00AF77EF" w:rsidRPr="00AF77EF" w:rsidRDefault="00AF77EF" w:rsidP="00AF77EF">
      <w:pPr>
        <w:rPr>
          <w:rFonts w:eastAsia="Times New Roman"/>
          <w:lang w:eastAsia="en-GB"/>
        </w:rPr>
      </w:pPr>
      <w:r w:rsidRPr="00AF77EF">
        <w:rPr>
          <w:rFonts w:eastAsia="Times New Roman"/>
          <w:b/>
          <w:color w:val="000000"/>
          <w:sz w:val="22"/>
          <w:szCs w:val="22"/>
          <w:lang w:eastAsia="en-GB"/>
        </w:rPr>
        <w:t>Thierry Breton</w:t>
      </w:r>
      <w:r w:rsidRPr="00AF77EF">
        <w:rPr>
          <w:rFonts w:eastAsia="Times New Roman"/>
          <w:color w:val="000000"/>
          <w:sz w:val="22"/>
          <w:szCs w:val="22"/>
          <w:lang w:eastAsia="en-GB"/>
        </w:rPr>
        <w:t xml:space="preserve">, Commissioner </w:t>
      </w:r>
      <w:r w:rsidRPr="00AF77EF">
        <w:rPr>
          <w:rFonts w:eastAsia="Times New Roman"/>
          <w:i/>
          <w:color w:val="000000"/>
          <w:sz w:val="22"/>
          <w:szCs w:val="22"/>
          <w:lang w:eastAsia="en-GB"/>
        </w:rPr>
        <w:t>“Internal Market”</w:t>
      </w:r>
    </w:p>
    <w:p w:rsidR="00AF77EF" w:rsidRPr="00AF77EF" w:rsidRDefault="00AF77EF" w:rsidP="00AF77EF">
      <w:pPr>
        <w:spacing w:after="240"/>
        <w:ind w:left="4320" w:firstLine="720"/>
        <w:rPr>
          <w:rFonts w:eastAsia="Times New Roman"/>
          <w:lang w:eastAsia="en-GB"/>
        </w:rPr>
      </w:pPr>
      <w:r w:rsidRPr="00AF77EF">
        <w:rPr>
          <w:rFonts w:eastAsia="Times New Roman"/>
          <w:color w:val="000000"/>
          <w:sz w:val="22"/>
          <w:szCs w:val="22"/>
          <w:lang w:eastAsia="en-GB"/>
        </w:rPr>
        <w:t>                    </w:t>
      </w:r>
      <w:r w:rsidRPr="00AF77EF">
        <w:rPr>
          <w:rFonts w:eastAsia="Times New Roman"/>
          <w:color w:val="000000"/>
          <w:sz w:val="22"/>
          <w:szCs w:val="22"/>
          <w:lang w:eastAsia="en-GB"/>
        </w:rPr>
        <w:tab/>
        <w:t>Brussels, 19 April 2021</w:t>
      </w:r>
    </w:p>
    <w:p w:rsidR="00136581" w:rsidRPr="00136581" w:rsidRDefault="00136581" w:rsidP="00136581">
      <w:pPr>
        <w:spacing w:before="240" w:after="240"/>
        <w:rPr>
          <w:rFonts w:eastAsia="Times New Roman"/>
          <w:lang w:eastAsia="en-GB"/>
        </w:rPr>
      </w:pPr>
      <w:r w:rsidRPr="00136581">
        <w:rPr>
          <w:rFonts w:eastAsia="Times New Roman"/>
          <w:color w:val="000000"/>
          <w:sz w:val="22"/>
          <w:szCs w:val="22"/>
          <w:lang w:eastAsia="en-GB"/>
        </w:rPr>
        <w:t>Dear Vice-Presidents, Dear Commissioner,</w:t>
      </w:r>
    </w:p>
    <w:p w:rsidR="00136581" w:rsidRPr="00136581" w:rsidRDefault="00136581" w:rsidP="00136581">
      <w:pPr>
        <w:spacing w:before="240" w:after="240"/>
        <w:rPr>
          <w:rFonts w:eastAsia="Times New Roman"/>
          <w:lang w:eastAsia="en-GB"/>
        </w:rPr>
      </w:pPr>
      <w:r w:rsidRPr="00136581">
        <w:rPr>
          <w:rFonts w:eastAsia="Times New Roman"/>
          <w:color w:val="000000"/>
          <w:sz w:val="22"/>
          <w:szCs w:val="22"/>
          <w:lang w:eastAsia="en-GB"/>
        </w:rPr>
        <w:t>We are writing to you with a call t</w:t>
      </w:r>
      <w:r w:rsidRPr="00136581">
        <w:rPr>
          <w:rFonts w:eastAsia="Times New Roman"/>
          <w:b/>
          <w:bCs/>
          <w:color w:val="000000"/>
          <w:sz w:val="22"/>
          <w:szCs w:val="22"/>
          <w:lang w:eastAsia="en-GB"/>
        </w:rPr>
        <w:t xml:space="preserve">o </w:t>
      </w:r>
      <w:r w:rsidRPr="00136581">
        <w:rPr>
          <w:rFonts w:eastAsia="Times New Roman"/>
          <w:color w:val="000000"/>
          <w:sz w:val="22"/>
          <w:szCs w:val="22"/>
          <w:lang w:eastAsia="en-GB"/>
        </w:rPr>
        <w:t>take action to limit the environmental impact of the ICT sector.</w:t>
      </w:r>
      <w:r w:rsidRPr="00136581">
        <w:rPr>
          <w:rFonts w:eastAsia="Times New Roman"/>
          <w:b/>
          <w:bCs/>
          <w:color w:val="000000"/>
          <w:sz w:val="22"/>
          <w:szCs w:val="22"/>
          <w:lang w:eastAsia="en-GB"/>
        </w:rPr>
        <w:t xml:space="preserve"> </w:t>
      </w:r>
      <w:r w:rsidRPr="00136581">
        <w:rPr>
          <w:rFonts w:eastAsia="Times New Roman"/>
          <w:color w:val="000000"/>
          <w:sz w:val="22"/>
          <w:szCs w:val="22"/>
          <w:lang w:eastAsia="en-GB"/>
        </w:rPr>
        <w:t xml:space="preserve">The European Commission’s two key priorities for the upcoming years are Europe Fit for the Digital Age and the Green Deal. To reach both of these priorities, </w:t>
      </w:r>
      <w:r w:rsidRPr="00136581">
        <w:rPr>
          <w:rFonts w:eastAsia="Times New Roman"/>
          <w:b/>
          <w:bCs/>
          <w:color w:val="000000"/>
          <w:sz w:val="22"/>
          <w:szCs w:val="22"/>
          <w:lang w:eastAsia="en-GB"/>
        </w:rPr>
        <w:t>we must ensure the digital transition promotes and does not hamper the green transition</w:t>
      </w:r>
      <w:r w:rsidRPr="00136581">
        <w:rPr>
          <w:rFonts w:eastAsia="Times New Roman"/>
          <w:color w:val="000000"/>
          <w:sz w:val="22"/>
          <w:szCs w:val="22"/>
          <w:lang w:eastAsia="en-GB"/>
        </w:rPr>
        <w:t xml:space="preserve">. The European Union must accelerate innovation and digitalisation in a way compatible with our CO2 reduction goals, climate neutrality aims and high environmental standards. The Commission recalled in its Communication COM(2020)67 that “the environmental footprint of the sector is significant, estimated at 5-9% of the world’s total electricity use and more than 2% of all emissions.” Addressing the environmental impact of the ICT sector can only be done with the relevant information and data to make digital technologies and infrastructures, such as data centres sustainable. We therefore call on the Commission to take the necessary steps in the </w:t>
      </w:r>
      <w:r w:rsidRPr="00136581">
        <w:rPr>
          <w:rFonts w:eastAsia="Times New Roman"/>
          <w:b/>
          <w:bCs/>
          <w:color w:val="000000"/>
          <w:sz w:val="22"/>
          <w:szCs w:val="22"/>
          <w:lang w:eastAsia="en-GB"/>
        </w:rPr>
        <w:t>Non-Financial Reporting Directive</w:t>
      </w:r>
      <w:r w:rsidRPr="00136581">
        <w:rPr>
          <w:rFonts w:eastAsia="Times New Roman"/>
          <w:color w:val="000000"/>
          <w:sz w:val="22"/>
          <w:szCs w:val="22"/>
          <w:lang w:eastAsia="en-GB"/>
        </w:rPr>
        <w:t xml:space="preserve">, the </w:t>
      </w:r>
      <w:r w:rsidRPr="00136581">
        <w:rPr>
          <w:rFonts w:eastAsia="Times New Roman"/>
          <w:b/>
          <w:bCs/>
          <w:color w:val="000000"/>
          <w:sz w:val="22"/>
          <w:szCs w:val="22"/>
          <w:lang w:eastAsia="en-GB"/>
        </w:rPr>
        <w:t xml:space="preserve">Data Act </w:t>
      </w:r>
      <w:r w:rsidRPr="00136581">
        <w:rPr>
          <w:rFonts w:eastAsia="Times New Roman"/>
          <w:color w:val="000000"/>
          <w:sz w:val="22"/>
          <w:szCs w:val="22"/>
          <w:lang w:eastAsia="en-GB"/>
        </w:rPr>
        <w:t xml:space="preserve">and to present </w:t>
      </w:r>
      <w:r w:rsidRPr="00136581">
        <w:rPr>
          <w:rFonts w:eastAsia="Times New Roman"/>
          <w:b/>
          <w:bCs/>
          <w:color w:val="000000"/>
          <w:sz w:val="22"/>
          <w:szCs w:val="22"/>
          <w:lang w:eastAsia="en-GB"/>
        </w:rPr>
        <w:t>legislation for sustainable and circular data centres.</w:t>
      </w:r>
    </w:p>
    <w:p w:rsidR="00136581" w:rsidRPr="00136581" w:rsidRDefault="00136581" w:rsidP="00136581">
      <w:pPr>
        <w:shd w:val="clear" w:color="auto" w:fill="FFFFFF"/>
        <w:rPr>
          <w:rFonts w:eastAsia="Times New Roman"/>
          <w:lang w:eastAsia="en-GB"/>
        </w:rPr>
      </w:pPr>
      <w:r w:rsidRPr="00136581">
        <w:rPr>
          <w:rFonts w:eastAsia="Times New Roman"/>
          <w:color w:val="000000"/>
          <w:sz w:val="22"/>
          <w:szCs w:val="22"/>
          <w:lang w:eastAsia="en-GB"/>
        </w:rPr>
        <w:t xml:space="preserve">The necessary information to assess the impact of technology on the climate and the environment is lacking. </w:t>
      </w:r>
      <w:r w:rsidRPr="00136581">
        <w:rPr>
          <w:rFonts w:eastAsia="Times New Roman"/>
          <w:color w:val="212529"/>
          <w:sz w:val="22"/>
          <w:szCs w:val="22"/>
          <w:lang w:eastAsia="en-GB"/>
        </w:rPr>
        <w:t>This allows some big tech companies to make</w:t>
      </w:r>
      <w:r w:rsidR="00CF3388">
        <w:rPr>
          <w:rFonts w:eastAsia="Times New Roman"/>
          <w:color w:val="212529"/>
          <w:sz w:val="22"/>
          <w:szCs w:val="22"/>
          <w:lang w:eastAsia="en-GB"/>
        </w:rPr>
        <w:t xml:space="preserve"> </w:t>
      </w:r>
      <w:r w:rsidRPr="00136581">
        <w:rPr>
          <w:rFonts w:eastAsia="Times New Roman"/>
          <w:color w:val="212529"/>
          <w:sz w:val="22"/>
          <w:szCs w:val="22"/>
          <w:lang w:eastAsia="en-GB"/>
        </w:rPr>
        <w:t xml:space="preserve">net-zero pledges based on a strategy of greenwashing towards our European citizens. While claiming to be green, emissions are not lowered and pollution continues. Other companies willing to improve in good faith are hampered by data gaps and lack of harmonised reporting and lack of harmonised reporting. </w:t>
      </w:r>
      <w:r w:rsidRPr="00136581">
        <w:rPr>
          <w:rFonts w:eastAsia="Times New Roman"/>
          <w:color w:val="000000"/>
          <w:sz w:val="22"/>
          <w:szCs w:val="22"/>
          <w:lang w:eastAsia="en-GB"/>
        </w:rPr>
        <w:t>Without clear, harmonised and quantifiable reporting standards, tech companies cannot be held accountable for their environmental impact.</w:t>
      </w:r>
    </w:p>
    <w:p w:rsidR="00136581" w:rsidRPr="00136581" w:rsidRDefault="00136581" w:rsidP="00136581">
      <w:pPr>
        <w:spacing w:before="240" w:after="240"/>
        <w:rPr>
          <w:rFonts w:eastAsia="Times New Roman"/>
          <w:lang w:eastAsia="en-GB"/>
        </w:rPr>
      </w:pPr>
      <w:r w:rsidRPr="00136581">
        <w:rPr>
          <w:rFonts w:eastAsia="Times New Roman"/>
          <w:b/>
          <w:bCs/>
          <w:color w:val="000000"/>
          <w:sz w:val="22"/>
          <w:szCs w:val="22"/>
          <w:lang w:eastAsia="en-GB"/>
        </w:rPr>
        <w:t xml:space="preserve">The review of the Non-Financial Reporting Directive is a crucial first step </w:t>
      </w:r>
      <w:r w:rsidRPr="00136581">
        <w:rPr>
          <w:rFonts w:eastAsia="Times New Roman"/>
          <w:color w:val="000000"/>
          <w:sz w:val="22"/>
          <w:szCs w:val="22"/>
          <w:lang w:eastAsia="en-GB"/>
        </w:rPr>
        <w:t>in tackling the information deficit we face over the impact of the ICT sector on the environment and is key in stopping greenwashing in this sector. Currently, environmental reporting is often vague and fragmented with different companies using different methodologies. The Commission needs to ensure these numbers become quantifiable, comparable and will ultimately enable society to hold companies accountable. This is why we urgently</w:t>
      </w:r>
      <w:r w:rsidRPr="00136581">
        <w:rPr>
          <w:rFonts w:eastAsia="Times New Roman"/>
          <w:b/>
          <w:bCs/>
          <w:color w:val="000000"/>
          <w:sz w:val="22"/>
          <w:szCs w:val="22"/>
          <w:lang w:eastAsia="en-GB"/>
        </w:rPr>
        <w:t xml:space="preserve"> call for standardised methods and prescriptive formats for calculating CO2 emissions and reporting environmental impact. </w:t>
      </w:r>
      <w:r w:rsidRPr="00136581">
        <w:rPr>
          <w:rFonts w:eastAsia="Times New Roman"/>
          <w:color w:val="000000"/>
          <w:sz w:val="22"/>
          <w:szCs w:val="22"/>
          <w:shd w:val="clear" w:color="auto" w:fill="FFFFFF"/>
          <w:lang w:eastAsia="en-GB"/>
        </w:rPr>
        <w:t xml:space="preserve">To be aligned with the objectives of the Green Deal, the Non-Financial Reporting Directive should go beyond general reporting on the sustainability strategy and plans of a business and </w:t>
      </w:r>
      <w:r w:rsidRPr="00136581">
        <w:rPr>
          <w:rFonts w:eastAsia="Times New Roman"/>
          <w:b/>
          <w:bCs/>
          <w:color w:val="000000"/>
          <w:sz w:val="22"/>
          <w:szCs w:val="22"/>
          <w:shd w:val="clear" w:color="auto" w:fill="FFFFFF"/>
          <w:lang w:eastAsia="en-GB"/>
        </w:rPr>
        <w:t xml:space="preserve">include a mandatory environmental impact assessment of the corporations product's, services and used infrastructures, using a standardized life-cycle assessment methodology </w:t>
      </w:r>
      <w:r w:rsidRPr="00136581">
        <w:rPr>
          <w:rFonts w:eastAsia="Times New Roman"/>
          <w:color w:val="000000"/>
          <w:sz w:val="22"/>
          <w:szCs w:val="22"/>
          <w:shd w:val="clear" w:color="auto" w:fill="FFFFFF"/>
          <w:lang w:eastAsia="en-GB"/>
        </w:rPr>
        <w:t>available to the public.</w:t>
      </w:r>
    </w:p>
    <w:p w:rsidR="00136581" w:rsidRPr="00136581" w:rsidRDefault="00136581" w:rsidP="00136581">
      <w:pPr>
        <w:spacing w:before="240" w:after="240"/>
        <w:rPr>
          <w:rFonts w:eastAsia="Times New Roman"/>
          <w:lang w:eastAsia="en-GB"/>
        </w:rPr>
      </w:pPr>
      <w:r w:rsidRPr="00136581">
        <w:rPr>
          <w:rFonts w:eastAsia="Times New Roman"/>
          <w:color w:val="000000"/>
          <w:sz w:val="22"/>
          <w:szCs w:val="22"/>
          <w:lang w:eastAsia="en-GB"/>
        </w:rPr>
        <w:t>Already in October 2020, the Parliament called the Commission to tackle the environmental impact of AI technologies, notably in terms of infrastructure and throughout the lifecycle of AI systems (2020/2012(INL)), while highlighting the critical role of these technologies for attaining the goals of the Green Deal, the UN Sustainable Development Goals and the Paris Agreement, and in boosting the impact of policies delivering environmental protection, e.g. regarding waste reduction and environmental degradation</w:t>
      </w:r>
    </w:p>
    <w:p w:rsidR="00136581" w:rsidRPr="00136581" w:rsidRDefault="00136581" w:rsidP="00136581">
      <w:pPr>
        <w:spacing w:before="240" w:after="240"/>
        <w:rPr>
          <w:rFonts w:eastAsia="Times New Roman"/>
          <w:lang w:eastAsia="en-GB"/>
        </w:rPr>
      </w:pPr>
      <w:r w:rsidRPr="00136581">
        <w:rPr>
          <w:rFonts w:eastAsia="Times New Roman"/>
          <w:b/>
          <w:bCs/>
          <w:color w:val="000000"/>
          <w:sz w:val="22"/>
          <w:szCs w:val="22"/>
          <w:lang w:eastAsia="en-GB"/>
        </w:rPr>
        <w:t>The Data Act must form a second step</w:t>
      </w:r>
      <w:r w:rsidRPr="00136581">
        <w:rPr>
          <w:rFonts w:eastAsia="Times New Roman"/>
          <w:color w:val="000000"/>
          <w:sz w:val="22"/>
          <w:szCs w:val="22"/>
          <w:lang w:eastAsia="en-GB"/>
        </w:rPr>
        <w:t xml:space="preserve">. Data can help assess and tackle environmental challenges, save resources, contribute to a fully circular economy, reduce waste, promote the transition towards renewable energy and enhance mobility patterns. However, the data essential for reaching the Green Deal is often fragmented or simply unavailable. We urgently ask the Commission to take action and </w:t>
      </w:r>
      <w:r w:rsidRPr="00136581">
        <w:rPr>
          <w:rFonts w:eastAsia="Times New Roman"/>
          <w:b/>
          <w:bCs/>
          <w:color w:val="000000"/>
          <w:sz w:val="22"/>
          <w:szCs w:val="22"/>
          <w:lang w:eastAsia="en-GB"/>
        </w:rPr>
        <w:t>make all private and publicly owned data datasets essential to the Green Deal freely available, accessible, standardised and interoperable</w:t>
      </w:r>
      <w:r w:rsidRPr="00136581">
        <w:rPr>
          <w:rFonts w:eastAsia="Times New Roman"/>
          <w:color w:val="000000"/>
          <w:sz w:val="22"/>
          <w:szCs w:val="22"/>
          <w:lang w:eastAsia="en-GB"/>
        </w:rPr>
        <w:t xml:space="preserve"> in the Data Act. Sharing of data essential to the Green deal must be </w:t>
      </w:r>
      <w:r w:rsidRPr="00136581">
        <w:rPr>
          <w:rFonts w:eastAsia="Times New Roman"/>
          <w:b/>
          <w:bCs/>
          <w:color w:val="000000"/>
          <w:sz w:val="22"/>
          <w:szCs w:val="22"/>
          <w:lang w:eastAsia="en-GB"/>
        </w:rPr>
        <w:t>mandatory</w:t>
      </w:r>
      <w:r w:rsidRPr="00136581">
        <w:rPr>
          <w:rFonts w:eastAsia="Times New Roman"/>
          <w:color w:val="000000"/>
          <w:sz w:val="22"/>
          <w:szCs w:val="22"/>
          <w:lang w:eastAsia="en-GB"/>
        </w:rPr>
        <w:t xml:space="preserve">. We call on the Commission to assess which datasets are essential to the Green Deal. </w:t>
      </w:r>
      <w:r w:rsidRPr="00136581">
        <w:rPr>
          <w:rFonts w:eastAsia="Times New Roman"/>
          <w:b/>
          <w:bCs/>
          <w:color w:val="000000"/>
          <w:sz w:val="22"/>
          <w:szCs w:val="22"/>
          <w:lang w:eastAsia="en-GB"/>
        </w:rPr>
        <w:t>All information relating to the environmental impact of products, services and used infrastructures should be deemed essential data</w:t>
      </w:r>
      <w:r w:rsidRPr="00136581">
        <w:rPr>
          <w:rFonts w:eastAsia="Times New Roman"/>
          <w:color w:val="000000"/>
          <w:sz w:val="22"/>
          <w:szCs w:val="22"/>
          <w:lang w:eastAsia="en-GB"/>
        </w:rPr>
        <w:t>. This will allow for policy-wise decisions and to support sustainable innovation</w:t>
      </w:r>
    </w:p>
    <w:p w:rsidR="00136581" w:rsidRPr="00136581" w:rsidRDefault="00136581" w:rsidP="00136581">
      <w:pPr>
        <w:spacing w:before="240" w:after="240"/>
        <w:rPr>
          <w:rFonts w:eastAsia="Times New Roman"/>
          <w:lang w:eastAsia="en-GB"/>
        </w:rPr>
      </w:pPr>
      <w:r w:rsidRPr="00136581">
        <w:rPr>
          <w:rFonts w:eastAsia="Times New Roman"/>
          <w:color w:val="000000"/>
          <w:sz w:val="22"/>
          <w:szCs w:val="22"/>
          <w:lang w:eastAsia="en-GB"/>
        </w:rPr>
        <w:t xml:space="preserve">Digital infrastructures have a huge environmental impact. Running and cooling data centres requires a significant part of our energy resources, while the heat data centres produce can be reused for other circular purposes, such as heating houses. This promise of circularity is currently often not fulfilled in practice. Moreover, the environmental impact reaches further than CO2 emissions and includes water pollution and use of rare metals. </w:t>
      </w:r>
      <w:r w:rsidRPr="00136581">
        <w:rPr>
          <w:rFonts w:eastAsia="Times New Roman"/>
          <w:b/>
          <w:bCs/>
          <w:color w:val="000000"/>
          <w:sz w:val="22"/>
          <w:szCs w:val="22"/>
          <w:lang w:eastAsia="en-GB"/>
        </w:rPr>
        <w:t>Data centres taken up in the EU’s taxonomy in the delegated act that will be presented this Wednesday must at minimum meet the technical expert groups’ standards</w:t>
      </w:r>
      <w:r w:rsidRPr="00136581">
        <w:rPr>
          <w:rFonts w:eastAsia="Times New Roman"/>
          <w:color w:val="000000"/>
          <w:sz w:val="22"/>
          <w:szCs w:val="22"/>
          <w:lang w:eastAsia="en-GB"/>
        </w:rPr>
        <w:t>. But, if the Commission is serious about limiting the environmental impact of the ICT sector and about green technology in the EU, we need to go further than voluntary codes of conduct and further than only looking at energy consumption. We therefore urgently</w:t>
      </w:r>
      <w:r w:rsidRPr="00136581">
        <w:rPr>
          <w:rFonts w:eastAsia="Times New Roman"/>
          <w:b/>
          <w:bCs/>
          <w:color w:val="000000"/>
          <w:sz w:val="22"/>
          <w:szCs w:val="22"/>
          <w:lang w:eastAsia="en-GB"/>
        </w:rPr>
        <w:t xml:space="preserve"> call on the Commission to present legislation with clear obligatory sustainability and circularity standards for all data centres in the EU.</w:t>
      </w:r>
    </w:p>
    <w:p w:rsidR="00136581" w:rsidRPr="00136581" w:rsidRDefault="00136581" w:rsidP="00136581">
      <w:pPr>
        <w:spacing w:before="240" w:after="240"/>
        <w:rPr>
          <w:rFonts w:eastAsia="Times New Roman"/>
          <w:lang w:eastAsia="en-GB"/>
        </w:rPr>
      </w:pPr>
      <w:r w:rsidRPr="00136581">
        <w:rPr>
          <w:rFonts w:eastAsia="Times New Roman"/>
          <w:color w:val="000000"/>
          <w:sz w:val="22"/>
          <w:szCs w:val="22"/>
          <w:lang w:eastAsia="en-GB"/>
        </w:rPr>
        <w:t xml:space="preserve">Dear Vice-Presidents, Commissioner, we ask you for serious action in the Non-Financial Reporting Directive to ensure </w:t>
      </w:r>
      <w:r w:rsidRPr="00136581">
        <w:rPr>
          <w:rFonts w:eastAsia="Times New Roman"/>
          <w:b/>
          <w:bCs/>
          <w:color w:val="000000"/>
          <w:sz w:val="22"/>
          <w:szCs w:val="22"/>
          <w:lang w:eastAsia="en-GB"/>
        </w:rPr>
        <w:t>standardised, quantifiable methods to report environmental impact</w:t>
      </w:r>
      <w:r w:rsidRPr="00136581">
        <w:rPr>
          <w:rFonts w:eastAsia="Times New Roman"/>
          <w:color w:val="000000"/>
          <w:sz w:val="22"/>
          <w:szCs w:val="22"/>
          <w:lang w:eastAsia="en-GB"/>
        </w:rPr>
        <w:t xml:space="preserve">. In the Data Act we ask you to </w:t>
      </w:r>
      <w:r w:rsidRPr="00136581">
        <w:rPr>
          <w:rFonts w:eastAsia="Times New Roman"/>
          <w:b/>
          <w:bCs/>
          <w:color w:val="000000"/>
          <w:sz w:val="22"/>
          <w:szCs w:val="22"/>
          <w:lang w:eastAsia="en-GB"/>
        </w:rPr>
        <w:t>guarantee mandatory public access to the information and data relevant to the Green Dea</w:t>
      </w:r>
      <w:r w:rsidRPr="00136581">
        <w:rPr>
          <w:rFonts w:eastAsia="Times New Roman"/>
          <w:color w:val="000000"/>
          <w:sz w:val="22"/>
          <w:szCs w:val="22"/>
          <w:lang w:eastAsia="en-GB"/>
        </w:rPr>
        <w:t xml:space="preserve">l as a first step to limit the impact of the ICT sector on the environment. To make the tech sector climate neutral by 2030, we need </w:t>
      </w:r>
      <w:r w:rsidRPr="00136581">
        <w:rPr>
          <w:rFonts w:eastAsia="Times New Roman"/>
          <w:b/>
          <w:bCs/>
          <w:color w:val="000000"/>
          <w:sz w:val="22"/>
          <w:szCs w:val="22"/>
          <w:lang w:eastAsia="en-GB"/>
        </w:rPr>
        <w:t>a clear legislative proposal for sustainable and circular data centres in the EU.</w:t>
      </w:r>
      <w:r w:rsidRPr="00136581">
        <w:rPr>
          <w:rFonts w:eastAsia="Times New Roman"/>
          <w:color w:val="000000"/>
          <w:sz w:val="22"/>
          <w:szCs w:val="22"/>
          <w:lang w:eastAsia="en-GB"/>
        </w:rPr>
        <w:t xml:space="preserve"> Only then we can ensure the digital and green transition can be reconciled and promote each other.</w:t>
      </w:r>
    </w:p>
    <w:p w:rsidR="00136581" w:rsidRPr="00136581" w:rsidRDefault="00136581" w:rsidP="00136581">
      <w:pPr>
        <w:spacing w:before="240" w:after="240"/>
        <w:rPr>
          <w:rFonts w:eastAsia="Times New Roman"/>
          <w:lang w:eastAsia="en-GB"/>
        </w:rPr>
      </w:pPr>
      <w:r w:rsidRPr="00136581">
        <w:rPr>
          <w:rFonts w:eastAsia="Times New Roman"/>
          <w:color w:val="000000"/>
          <w:sz w:val="22"/>
          <w:szCs w:val="22"/>
          <w:lang w:eastAsia="en-GB"/>
        </w:rPr>
        <w:t>Yours Sincerely,</w:t>
      </w:r>
    </w:p>
    <w:p w:rsidR="00787EE8" w:rsidRPr="00787EE8" w:rsidRDefault="00787EE8" w:rsidP="00787EE8">
      <w:pPr>
        <w:rPr>
          <w:sz w:val="22"/>
          <w:szCs w:val="22"/>
          <w:lang w:val="nl-NL"/>
        </w:rPr>
      </w:pPr>
      <w:r w:rsidRPr="00787EE8">
        <w:rPr>
          <w:sz w:val="22"/>
          <w:szCs w:val="22"/>
          <w:lang w:val="nl-NL"/>
        </w:rPr>
        <w:t>MEP Kim van Sparrentak, Greens/EFA</w:t>
      </w:r>
    </w:p>
    <w:p w:rsidR="00787EE8" w:rsidRPr="00787EE8" w:rsidRDefault="00787EE8" w:rsidP="00787EE8">
      <w:pPr>
        <w:rPr>
          <w:sz w:val="22"/>
          <w:szCs w:val="22"/>
          <w:lang w:val="nl-NL"/>
        </w:rPr>
      </w:pPr>
      <w:r w:rsidRPr="00787EE8">
        <w:rPr>
          <w:sz w:val="22"/>
          <w:szCs w:val="22"/>
          <w:lang w:val="nl-NL"/>
        </w:rPr>
        <w:t>MEP David Cormand, Greens/EFA</w:t>
      </w:r>
    </w:p>
    <w:p w:rsidR="00787EE8" w:rsidRPr="00787EE8" w:rsidRDefault="00787EE8" w:rsidP="00787EE8">
      <w:pPr>
        <w:rPr>
          <w:sz w:val="22"/>
          <w:szCs w:val="22"/>
          <w:lang w:val="nl-NL"/>
        </w:rPr>
      </w:pPr>
      <w:r w:rsidRPr="00787EE8">
        <w:rPr>
          <w:sz w:val="22"/>
          <w:szCs w:val="22"/>
          <w:lang w:val="nl-NL"/>
        </w:rPr>
        <w:t>MEP Rasmus Andresen, Greens/EFA</w:t>
      </w:r>
    </w:p>
    <w:p w:rsidR="00787EE8" w:rsidRPr="00787EE8" w:rsidRDefault="00787EE8" w:rsidP="00787EE8">
      <w:pPr>
        <w:rPr>
          <w:sz w:val="22"/>
          <w:szCs w:val="22"/>
          <w:lang w:val="nl-NL"/>
        </w:rPr>
      </w:pPr>
      <w:r w:rsidRPr="00787EE8">
        <w:rPr>
          <w:sz w:val="22"/>
          <w:szCs w:val="22"/>
          <w:lang w:val="nl-NL"/>
        </w:rPr>
        <w:t>MEP Marie Toussaint, Greens/EFA</w:t>
      </w:r>
    </w:p>
    <w:p w:rsidR="00787EE8" w:rsidRDefault="00787EE8" w:rsidP="00787EE8">
      <w:pPr>
        <w:rPr>
          <w:sz w:val="22"/>
          <w:szCs w:val="22"/>
          <w:lang w:val="nl-NL"/>
        </w:rPr>
      </w:pPr>
      <w:r w:rsidRPr="00787EE8">
        <w:rPr>
          <w:sz w:val="22"/>
          <w:szCs w:val="22"/>
          <w:lang w:val="nl-NL"/>
        </w:rPr>
        <w:t>MEP Sara Matthieu, Greens/EFA</w:t>
      </w:r>
    </w:p>
    <w:p w:rsidR="00C16697" w:rsidRPr="00787EE8" w:rsidRDefault="00C16697" w:rsidP="00787EE8">
      <w:pPr>
        <w:rPr>
          <w:sz w:val="22"/>
          <w:szCs w:val="22"/>
          <w:lang w:val="nl-NL"/>
        </w:rPr>
      </w:pPr>
      <w:r>
        <w:rPr>
          <w:sz w:val="22"/>
          <w:szCs w:val="22"/>
          <w:lang w:val="nl-NL"/>
        </w:rPr>
        <w:t>MEP Bas Eickhout, Greens/EFA</w:t>
      </w:r>
    </w:p>
    <w:p w:rsidR="00787EE8" w:rsidRPr="00D22789" w:rsidRDefault="00787EE8" w:rsidP="00787EE8">
      <w:pPr>
        <w:rPr>
          <w:sz w:val="22"/>
          <w:szCs w:val="22"/>
          <w:lang w:val="es-ES"/>
        </w:rPr>
      </w:pPr>
      <w:r w:rsidRPr="00D22789">
        <w:rPr>
          <w:sz w:val="22"/>
          <w:szCs w:val="22"/>
          <w:lang w:val="es-ES"/>
        </w:rPr>
        <w:t>MEP Ciarán Cuffe, Greens/EFA</w:t>
      </w:r>
    </w:p>
    <w:p w:rsidR="00787EE8" w:rsidRPr="00787EE8" w:rsidRDefault="00787EE8" w:rsidP="00787EE8">
      <w:pPr>
        <w:rPr>
          <w:sz w:val="22"/>
          <w:szCs w:val="22"/>
          <w:lang w:val="nl-NL"/>
        </w:rPr>
      </w:pPr>
      <w:r w:rsidRPr="00787EE8">
        <w:rPr>
          <w:sz w:val="22"/>
          <w:szCs w:val="22"/>
          <w:lang w:val="nl-NL"/>
        </w:rPr>
        <w:t>MEP Martin Häusling, Greens/EFA</w:t>
      </w:r>
    </w:p>
    <w:p w:rsidR="00787EE8" w:rsidRPr="00787EE8" w:rsidRDefault="00787EE8" w:rsidP="00787EE8">
      <w:pPr>
        <w:rPr>
          <w:sz w:val="22"/>
          <w:szCs w:val="22"/>
          <w:lang w:val="nl-NL"/>
        </w:rPr>
      </w:pPr>
      <w:r w:rsidRPr="00787EE8">
        <w:rPr>
          <w:sz w:val="22"/>
          <w:szCs w:val="22"/>
          <w:lang w:val="nl-NL"/>
        </w:rPr>
        <w:t>MEP Anna Cavazzini, Greens/EFA</w:t>
      </w:r>
    </w:p>
    <w:p w:rsidR="00787EE8" w:rsidRPr="00787EE8" w:rsidRDefault="00787EE8" w:rsidP="00787EE8">
      <w:pPr>
        <w:rPr>
          <w:sz w:val="22"/>
          <w:szCs w:val="22"/>
          <w:lang w:val="nl-NL"/>
        </w:rPr>
      </w:pPr>
      <w:r w:rsidRPr="00787EE8">
        <w:rPr>
          <w:sz w:val="22"/>
          <w:szCs w:val="22"/>
          <w:lang w:val="nl-NL"/>
        </w:rPr>
        <w:t>MEP Alexandra Geese, Greens/EFA</w:t>
      </w:r>
    </w:p>
    <w:p w:rsidR="00787EE8" w:rsidRPr="00787EE8" w:rsidRDefault="00787EE8" w:rsidP="00787EE8">
      <w:pPr>
        <w:rPr>
          <w:sz w:val="22"/>
          <w:szCs w:val="22"/>
          <w:lang w:val="nl-NL"/>
        </w:rPr>
      </w:pPr>
      <w:r w:rsidRPr="00787EE8">
        <w:rPr>
          <w:sz w:val="22"/>
          <w:szCs w:val="22"/>
          <w:lang w:val="nl-NL"/>
        </w:rPr>
        <w:t>MEP Rosa D’Amato, Greens/EFA</w:t>
      </w:r>
    </w:p>
    <w:p w:rsidR="00787EE8" w:rsidRPr="00787EE8" w:rsidRDefault="00787EE8" w:rsidP="00787EE8">
      <w:pPr>
        <w:rPr>
          <w:sz w:val="22"/>
          <w:szCs w:val="22"/>
          <w:lang w:val="pt-PT"/>
        </w:rPr>
      </w:pPr>
      <w:r w:rsidRPr="00787EE8">
        <w:rPr>
          <w:sz w:val="22"/>
          <w:szCs w:val="22"/>
          <w:lang w:val="pt-PT"/>
        </w:rPr>
        <w:t>MEP Niklas Nienaß, Greens/EFA</w:t>
      </w:r>
    </w:p>
    <w:p w:rsidR="00787EE8" w:rsidRDefault="00787EE8" w:rsidP="00787EE8">
      <w:pPr>
        <w:rPr>
          <w:sz w:val="22"/>
          <w:szCs w:val="22"/>
          <w:lang w:val="pt-PT"/>
        </w:rPr>
      </w:pPr>
      <w:r w:rsidRPr="00787EE8">
        <w:rPr>
          <w:sz w:val="22"/>
          <w:szCs w:val="22"/>
          <w:lang w:val="pt-PT"/>
        </w:rPr>
        <w:t>MEP Sven Giegold, Greens/EFA</w:t>
      </w:r>
    </w:p>
    <w:p w:rsidR="00D22789" w:rsidRDefault="00D22789" w:rsidP="00787EE8">
      <w:pPr>
        <w:rPr>
          <w:sz w:val="22"/>
          <w:szCs w:val="22"/>
          <w:lang w:val="pt-PT"/>
        </w:rPr>
      </w:pPr>
      <w:r>
        <w:rPr>
          <w:sz w:val="22"/>
          <w:szCs w:val="22"/>
          <w:lang w:val="pt-PT"/>
        </w:rPr>
        <w:t xml:space="preserve">MEP Francois Alfonsi, </w:t>
      </w:r>
      <w:r w:rsidRPr="00787EE8">
        <w:rPr>
          <w:sz w:val="22"/>
          <w:szCs w:val="22"/>
          <w:lang w:val="pt-PT"/>
        </w:rPr>
        <w:t>Greens/EFA</w:t>
      </w:r>
    </w:p>
    <w:p w:rsidR="001B2FC4" w:rsidRDefault="00D22789" w:rsidP="00D22789">
      <w:pPr>
        <w:rPr>
          <w:sz w:val="22"/>
          <w:szCs w:val="22"/>
          <w:lang w:val="pt-PT"/>
        </w:rPr>
      </w:pPr>
      <w:r>
        <w:rPr>
          <w:sz w:val="22"/>
          <w:szCs w:val="22"/>
          <w:lang w:val="pt-PT"/>
        </w:rPr>
        <w:t xml:space="preserve">MEP Benoit Biteau,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Damien Careme,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Karima Delli,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Gwendoline Delbos-Corfield,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Claude Gruffat,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Yannick Jadot,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w:t>
      </w:r>
      <w:r w:rsidRPr="00D22789">
        <w:rPr>
          <w:sz w:val="22"/>
          <w:szCs w:val="22"/>
          <w:lang w:val="pt-PT"/>
        </w:rPr>
        <w:t>Michèle</w:t>
      </w:r>
      <w:r>
        <w:rPr>
          <w:sz w:val="22"/>
          <w:szCs w:val="22"/>
          <w:lang w:val="pt-PT"/>
        </w:rPr>
        <w:t xml:space="preserve"> Rivasi,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Caroline Roose,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Mounir Satouri,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Salima Yenbou,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Philippe Lamberts, </w:t>
      </w:r>
      <w:r w:rsidRPr="00787EE8">
        <w:rPr>
          <w:sz w:val="22"/>
          <w:szCs w:val="22"/>
          <w:lang w:val="pt-PT"/>
        </w:rPr>
        <w:t>Greens/EFA</w:t>
      </w:r>
    </w:p>
    <w:p w:rsidR="00D22789" w:rsidRDefault="00D22789" w:rsidP="00D22789">
      <w:pPr>
        <w:rPr>
          <w:sz w:val="22"/>
          <w:szCs w:val="22"/>
          <w:lang w:val="sv-SE"/>
        </w:rPr>
      </w:pPr>
      <w:r w:rsidRPr="00D22789">
        <w:rPr>
          <w:sz w:val="22"/>
          <w:szCs w:val="22"/>
          <w:lang w:val="sv-SE"/>
        </w:rPr>
        <w:t>MEP Kira Peter-Hansen, Greens/EFA</w:t>
      </w:r>
    </w:p>
    <w:p w:rsidR="00D22789" w:rsidRDefault="00D22789" w:rsidP="00D22789">
      <w:pPr>
        <w:rPr>
          <w:sz w:val="22"/>
          <w:szCs w:val="22"/>
          <w:lang w:val="pt-PT"/>
        </w:rPr>
      </w:pPr>
      <w:r>
        <w:rPr>
          <w:sz w:val="22"/>
          <w:szCs w:val="22"/>
          <w:lang w:val="sv-SE"/>
        </w:rPr>
        <w:t xml:space="preserve">MEP Margrete Auken, </w:t>
      </w:r>
      <w:r w:rsidRPr="00787EE8">
        <w:rPr>
          <w:sz w:val="22"/>
          <w:szCs w:val="22"/>
          <w:lang w:val="pt-PT"/>
        </w:rPr>
        <w:t>Greens/EFA</w:t>
      </w:r>
    </w:p>
    <w:p w:rsidR="00D22789" w:rsidRDefault="00D22789" w:rsidP="00D22789">
      <w:pPr>
        <w:rPr>
          <w:sz w:val="22"/>
          <w:szCs w:val="22"/>
          <w:lang w:val="pt-PT"/>
        </w:rPr>
      </w:pPr>
      <w:r>
        <w:rPr>
          <w:sz w:val="22"/>
          <w:szCs w:val="22"/>
          <w:lang w:val="pt-PT"/>
        </w:rPr>
        <w:t xml:space="preserve">MEP </w:t>
      </w:r>
      <w:r w:rsidRPr="00D22789">
        <w:rPr>
          <w:sz w:val="22"/>
          <w:szCs w:val="22"/>
          <w:lang w:val="pt-PT"/>
        </w:rPr>
        <w:t>Alviina Alametsä</w:t>
      </w:r>
      <w:r>
        <w:rPr>
          <w:sz w:val="22"/>
          <w:szCs w:val="22"/>
          <w:lang w:val="pt-PT"/>
        </w:rPr>
        <w:t>, Greens/EFA</w:t>
      </w:r>
    </w:p>
    <w:p w:rsidR="00D22789" w:rsidRDefault="00D22789" w:rsidP="00D22789">
      <w:pPr>
        <w:rPr>
          <w:sz w:val="22"/>
          <w:szCs w:val="22"/>
          <w:lang w:val="pt-PT"/>
        </w:rPr>
      </w:pPr>
      <w:r>
        <w:rPr>
          <w:sz w:val="22"/>
          <w:szCs w:val="22"/>
          <w:lang w:val="pt-PT"/>
        </w:rPr>
        <w:t>MEP Sergey Lagodinsky, Greens/EFA</w:t>
      </w:r>
    </w:p>
    <w:p w:rsidR="00D22789" w:rsidRDefault="00D22789" w:rsidP="00D22789">
      <w:pPr>
        <w:rPr>
          <w:sz w:val="22"/>
          <w:szCs w:val="22"/>
          <w:lang w:val="pt-PT"/>
        </w:rPr>
      </w:pPr>
      <w:r>
        <w:rPr>
          <w:sz w:val="22"/>
          <w:szCs w:val="22"/>
          <w:lang w:val="pt-PT"/>
        </w:rPr>
        <w:t>MEP Eleonora Evi, Greens/EFA</w:t>
      </w:r>
    </w:p>
    <w:p w:rsidR="00C95106" w:rsidRDefault="00C95106" w:rsidP="00D22789">
      <w:pPr>
        <w:rPr>
          <w:sz w:val="22"/>
          <w:szCs w:val="22"/>
          <w:lang w:val="pt-PT"/>
        </w:rPr>
      </w:pPr>
      <w:r>
        <w:rPr>
          <w:sz w:val="22"/>
          <w:szCs w:val="22"/>
          <w:lang w:val="pt-PT"/>
        </w:rPr>
        <w:t>MEP Ignazio Corrao, Greens/EFA</w:t>
      </w:r>
    </w:p>
    <w:p w:rsidR="00C16697" w:rsidRDefault="00C16697" w:rsidP="00D22789">
      <w:pPr>
        <w:rPr>
          <w:sz w:val="22"/>
          <w:szCs w:val="22"/>
          <w:lang w:val="pt-PT"/>
        </w:rPr>
      </w:pPr>
      <w:r>
        <w:rPr>
          <w:sz w:val="22"/>
          <w:szCs w:val="22"/>
          <w:lang w:val="pt-PT"/>
        </w:rPr>
        <w:t>MEP Tineke Strik, Greens/EFA</w:t>
      </w:r>
    </w:p>
    <w:p w:rsidR="00C16697" w:rsidRDefault="00C16697" w:rsidP="00D22789">
      <w:pPr>
        <w:rPr>
          <w:sz w:val="22"/>
          <w:szCs w:val="22"/>
          <w:lang w:val="pt-PT"/>
        </w:rPr>
      </w:pPr>
      <w:r>
        <w:rPr>
          <w:sz w:val="22"/>
          <w:szCs w:val="22"/>
          <w:lang w:val="pt-PT"/>
        </w:rPr>
        <w:t xml:space="preserve">MEP </w:t>
      </w:r>
      <w:r w:rsidRPr="00C16697">
        <w:rPr>
          <w:sz w:val="22"/>
          <w:szCs w:val="22"/>
          <w:lang w:val="pt-PT"/>
        </w:rPr>
        <w:t>Ville Niinistö</w:t>
      </w:r>
      <w:r>
        <w:rPr>
          <w:sz w:val="22"/>
          <w:szCs w:val="22"/>
          <w:lang w:val="pt-PT"/>
        </w:rPr>
        <w:t>, Greens/EFA</w:t>
      </w:r>
    </w:p>
    <w:p w:rsidR="005F3E1A" w:rsidRDefault="005F3E1A" w:rsidP="00D22789">
      <w:pPr>
        <w:rPr>
          <w:sz w:val="22"/>
          <w:szCs w:val="22"/>
          <w:lang w:val="pt-PT"/>
        </w:rPr>
      </w:pPr>
      <w:r>
        <w:rPr>
          <w:sz w:val="22"/>
          <w:szCs w:val="22"/>
          <w:lang w:val="pt-PT"/>
        </w:rPr>
        <w:t>MEP Michael Bloss, Greens/EFA</w:t>
      </w:r>
    </w:p>
    <w:p w:rsidR="004F4E3B" w:rsidRDefault="004F4E3B" w:rsidP="00D22789">
      <w:pPr>
        <w:rPr>
          <w:sz w:val="22"/>
          <w:szCs w:val="22"/>
          <w:lang w:val="pt-PT"/>
        </w:rPr>
      </w:pPr>
      <w:r>
        <w:rPr>
          <w:sz w:val="22"/>
          <w:szCs w:val="22"/>
          <w:lang w:val="pt-PT"/>
        </w:rPr>
        <w:t>MEP Ernest Urtasun, Greens/EFA</w:t>
      </w:r>
    </w:p>
    <w:p w:rsidR="002924F0" w:rsidRDefault="002924F0" w:rsidP="00D22789">
      <w:pPr>
        <w:rPr>
          <w:sz w:val="22"/>
          <w:szCs w:val="22"/>
          <w:lang w:val="pt-PT"/>
        </w:rPr>
      </w:pPr>
      <w:r>
        <w:rPr>
          <w:sz w:val="22"/>
          <w:szCs w:val="22"/>
          <w:lang w:val="pt-PT"/>
        </w:rPr>
        <w:t>MEP Henrike Hahn, Greens/EFA</w:t>
      </w:r>
    </w:p>
    <w:p w:rsidR="00647F26" w:rsidRDefault="00647F26" w:rsidP="00D22789">
      <w:pPr>
        <w:rPr>
          <w:sz w:val="22"/>
          <w:szCs w:val="22"/>
          <w:lang w:val="pt-PT"/>
        </w:rPr>
      </w:pPr>
      <w:r>
        <w:rPr>
          <w:sz w:val="22"/>
          <w:szCs w:val="22"/>
          <w:lang w:val="pt-PT"/>
        </w:rPr>
        <w:t>MEP Damien Boeselager, Greens/EFA</w:t>
      </w:r>
    </w:p>
    <w:p w:rsidR="00D22789" w:rsidRDefault="00D22789" w:rsidP="00D22789">
      <w:pPr>
        <w:rPr>
          <w:sz w:val="22"/>
          <w:szCs w:val="22"/>
          <w:lang w:val="pt-PT"/>
        </w:rPr>
      </w:pPr>
      <w:r>
        <w:rPr>
          <w:sz w:val="22"/>
          <w:szCs w:val="22"/>
          <w:lang w:val="pt-PT"/>
        </w:rPr>
        <w:t xml:space="preserve">MEP </w:t>
      </w:r>
      <w:r w:rsidRPr="00D22789">
        <w:rPr>
          <w:sz w:val="22"/>
          <w:szCs w:val="22"/>
          <w:lang w:val="pt-PT"/>
        </w:rPr>
        <w:t>Maria Eugenia Palop Rodriguez</w:t>
      </w:r>
      <w:r>
        <w:rPr>
          <w:sz w:val="22"/>
          <w:szCs w:val="22"/>
          <w:lang w:val="pt-PT"/>
        </w:rPr>
        <w:t>, The Left</w:t>
      </w:r>
    </w:p>
    <w:p w:rsidR="002924F0" w:rsidRDefault="002924F0" w:rsidP="00D22789">
      <w:pPr>
        <w:rPr>
          <w:sz w:val="22"/>
          <w:szCs w:val="22"/>
          <w:lang w:val="pt-PT"/>
        </w:rPr>
      </w:pPr>
      <w:r>
        <w:rPr>
          <w:sz w:val="22"/>
          <w:szCs w:val="22"/>
          <w:lang w:val="pt-PT"/>
        </w:rPr>
        <w:t>MEP Manon Aubry, The Left</w:t>
      </w:r>
    </w:p>
    <w:p w:rsidR="002924F0" w:rsidRDefault="002924F0" w:rsidP="00D22789">
      <w:pPr>
        <w:rPr>
          <w:sz w:val="22"/>
          <w:szCs w:val="22"/>
          <w:lang w:val="pt-PT"/>
        </w:rPr>
      </w:pPr>
      <w:r>
        <w:rPr>
          <w:sz w:val="22"/>
          <w:szCs w:val="22"/>
          <w:lang w:val="pt-PT"/>
        </w:rPr>
        <w:t>MEP Anja Hazekamp, The Left</w:t>
      </w:r>
    </w:p>
    <w:p w:rsidR="00647F26" w:rsidRPr="00647F26" w:rsidRDefault="00647F26" w:rsidP="00D22789">
      <w:pPr>
        <w:rPr>
          <w:sz w:val="22"/>
          <w:szCs w:val="22"/>
        </w:rPr>
      </w:pPr>
      <w:r w:rsidRPr="00647F26">
        <w:rPr>
          <w:sz w:val="22"/>
          <w:szCs w:val="22"/>
        </w:rPr>
        <w:t>MEP Sira Rego, The Left</w:t>
      </w:r>
    </w:p>
    <w:p w:rsidR="00647F26" w:rsidRDefault="00647F26" w:rsidP="00D22789">
      <w:pPr>
        <w:rPr>
          <w:sz w:val="22"/>
          <w:szCs w:val="22"/>
        </w:rPr>
      </w:pPr>
      <w:r w:rsidRPr="00647F26">
        <w:rPr>
          <w:sz w:val="22"/>
          <w:szCs w:val="22"/>
        </w:rPr>
        <w:t>MEP Manu Pineda, The Left</w:t>
      </w:r>
    </w:p>
    <w:p w:rsidR="00920185" w:rsidRPr="00647F26" w:rsidRDefault="00920185" w:rsidP="00D22789">
      <w:pPr>
        <w:rPr>
          <w:sz w:val="22"/>
          <w:szCs w:val="22"/>
        </w:rPr>
      </w:pPr>
      <w:r>
        <w:rPr>
          <w:sz w:val="22"/>
          <w:szCs w:val="22"/>
        </w:rPr>
        <w:t>MEP Konstantinos A</w:t>
      </w:r>
      <w:r w:rsidRPr="00920185">
        <w:rPr>
          <w:sz w:val="22"/>
          <w:szCs w:val="22"/>
        </w:rPr>
        <w:t>rvanitis</w:t>
      </w:r>
      <w:r>
        <w:rPr>
          <w:sz w:val="22"/>
          <w:szCs w:val="22"/>
        </w:rPr>
        <w:t>, The Left</w:t>
      </w:r>
    </w:p>
    <w:p w:rsidR="00C95106" w:rsidRDefault="00C95106" w:rsidP="00D22789">
      <w:pPr>
        <w:rPr>
          <w:sz w:val="22"/>
          <w:szCs w:val="22"/>
          <w:lang w:val="pt-PT"/>
        </w:rPr>
      </w:pPr>
      <w:r>
        <w:rPr>
          <w:sz w:val="22"/>
          <w:szCs w:val="22"/>
          <w:lang w:val="pt-PT"/>
        </w:rPr>
        <w:t xml:space="preserve">MEP Maria Manuel </w:t>
      </w:r>
      <w:r w:rsidRPr="00C95106">
        <w:rPr>
          <w:sz w:val="22"/>
          <w:szCs w:val="22"/>
          <w:lang w:val="pt-PT"/>
        </w:rPr>
        <w:t>Leitão-Marques</w:t>
      </w:r>
      <w:r>
        <w:rPr>
          <w:sz w:val="22"/>
          <w:szCs w:val="22"/>
          <w:lang w:val="pt-PT"/>
        </w:rPr>
        <w:t>, S&amp;D</w:t>
      </w:r>
    </w:p>
    <w:p w:rsidR="005F3E1A" w:rsidRDefault="005F3E1A" w:rsidP="00D22789">
      <w:pPr>
        <w:rPr>
          <w:sz w:val="22"/>
          <w:szCs w:val="22"/>
          <w:lang w:val="pt-PT"/>
        </w:rPr>
      </w:pPr>
      <w:r>
        <w:rPr>
          <w:sz w:val="22"/>
          <w:szCs w:val="22"/>
          <w:lang w:val="pt-PT"/>
        </w:rPr>
        <w:t>MEP Aurore Lalucq, S&amp;D</w:t>
      </w:r>
    </w:p>
    <w:p w:rsidR="00550C31" w:rsidRDefault="00550C31" w:rsidP="00D22789">
      <w:pPr>
        <w:rPr>
          <w:sz w:val="22"/>
          <w:szCs w:val="22"/>
          <w:lang w:val="pt-PT"/>
        </w:rPr>
      </w:pPr>
      <w:r>
        <w:rPr>
          <w:sz w:val="22"/>
          <w:szCs w:val="22"/>
          <w:lang w:val="pt-PT"/>
        </w:rPr>
        <w:t xml:space="preserve">MEP </w:t>
      </w:r>
      <w:r w:rsidRPr="00550C31">
        <w:rPr>
          <w:sz w:val="22"/>
          <w:szCs w:val="22"/>
          <w:lang w:val="pt-PT"/>
        </w:rPr>
        <w:t>Raphaël Glucksmann</w:t>
      </w:r>
      <w:r>
        <w:rPr>
          <w:sz w:val="22"/>
          <w:szCs w:val="22"/>
          <w:lang w:val="pt-PT"/>
        </w:rPr>
        <w:t>, S&amp;D</w:t>
      </w:r>
    </w:p>
    <w:p w:rsidR="00D22789" w:rsidRDefault="00D22789" w:rsidP="00D22789">
      <w:pPr>
        <w:rPr>
          <w:sz w:val="22"/>
          <w:szCs w:val="22"/>
          <w:lang w:val="pt-PT"/>
        </w:rPr>
      </w:pPr>
      <w:r>
        <w:rPr>
          <w:sz w:val="22"/>
          <w:szCs w:val="22"/>
          <w:lang w:val="pt-PT"/>
        </w:rPr>
        <w:t xml:space="preserve">MEP </w:t>
      </w:r>
      <w:r w:rsidRPr="00D22789">
        <w:rPr>
          <w:sz w:val="22"/>
          <w:szCs w:val="22"/>
          <w:lang w:val="pt-PT"/>
        </w:rPr>
        <w:t>Sirpa Pietikäinen</w:t>
      </w:r>
      <w:r>
        <w:rPr>
          <w:sz w:val="22"/>
          <w:szCs w:val="22"/>
          <w:lang w:val="pt-PT"/>
        </w:rPr>
        <w:t>, EPP</w:t>
      </w:r>
    </w:p>
    <w:p w:rsidR="00647F26" w:rsidRPr="00647F26" w:rsidRDefault="00647F26" w:rsidP="00D22789">
      <w:pPr>
        <w:rPr>
          <w:sz w:val="22"/>
          <w:szCs w:val="22"/>
          <w:lang w:val="es-ES"/>
        </w:rPr>
      </w:pPr>
      <w:r w:rsidRPr="00647F26">
        <w:rPr>
          <w:sz w:val="22"/>
          <w:szCs w:val="22"/>
          <w:lang w:val="es-ES"/>
        </w:rPr>
        <w:t>MEP Antoni Comín, NI</w:t>
      </w:r>
    </w:p>
    <w:p w:rsidR="00647F26" w:rsidRDefault="00647F26" w:rsidP="00D22789">
      <w:pPr>
        <w:rPr>
          <w:sz w:val="22"/>
          <w:szCs w:val="22"/>
          <w:lang w:val="es-ES"/>
        </w:rPr>
      </w:pPr>
      <w:r w:rsidRPr="00647F26">
        <w:rPr>
          <w:sz w:val="22"/>
          <w:szCs w:val="22"/>
          <w:lang w:val="es-ES"/>
        </w:rPr>
        <w:t>MEP Clara Ponsatí</w:t>
      </w:r>
      <w:r>
        <w:rPr>
          <w:sz w:val="22"/>
          <w:szCs w:val="22"/>
          <w:lang w:val="es-ES"/>
        </w:rPr>
        <w:t>, NI</w:t>
      </w:r>
    </w:p>
    <w:p w:rsidR="00920185" w:rsidRPr="00647F26" w:rsidRDefault="00920185" w:rsidP="00D22789">
      <w:pPr>
        <w:rPr>
          <w:sz w:val="22"/>
          <w:szCs w:val="22"/>
          <w:lang w:val="es-ES"/>
        </w:rPr>
      </w:pPr>
      <w:r>
        <w:rPr>
          <w:sz w:val="22"/>
          <w:szCs w:val="22"/>
          <w:lang w:val="es-ES"/>
        </w:rPr>
        <w:t>MEP Carles  Puigdemont, NI</w:t>
      </w:r>
    </w:p>
    <w:p w:rsidR="00D22789" w:rsidRPr="00647F26" w:rsidRDefault="00D22789" w:rsidP="00D22789">
      <w:pPr>
        <w:rPr>
          <w:sz w:val="22"/>
          <w:szCs w:val="22"/>
          <w:lang w:val="es-ES"/>
        </w:rPr>
      </w:pPr>
    </w:p>
    <w:sectPr w:rsidR="00D22789" w:rsidRPr="00647F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08" w:rsidRDefault="00F96408" w:rsidP="00226F6A">
      <w:r>
        <w:separator/>
      </w:r>
    </w:p>
  </w:endnote>
  <w:endnote w:type="continuationSeparator" w:id="0">
    <w:p w:rsidR="00F96408" w:rsidRDefault="00F96408" w:rsidP="0022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08" w:rsidRDefault="00F96408" w:rsidP="00226F6A">
      <w:r>
        <w:separator/>
      </w:r>
    </w:p>
  </w:footnote>
  <w:footnote w:type="continuationSeparator" w:id="0">
    <w:p w:rsidR="00F96408" w:rsidRDefault="00F96408" w:rsidP="00226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04"/>
    <w:rsid w:val="00000135"/>
    <w:rsid w:val="000F0BEA"/>
    <w:rsid w:val="00136581"/>
    <w:rsid w:val="00144661"/>
    <w:rsid w:val="001B2FC4"/>
    <w:rsid w:val="001B70FD"/>
    <w:rsid w:val="001E4040"/>
    <w:rsid w:val="00226F6A"/>
    <w:rsid w:val="002924F0"/>
    <w:rsid w:val="0032147F"/>
    <w:rsid w:val="003B5853"/>
    <w:rsid w:val="004F09E4"/>
    <w:rsid w:val="004F4E3B"/>
    <w:rsid w:val="00550C31"/>
    <w:rsid w:val="005762E3"/>
    <w:rsid w:val="005F3E1A"/>
    <w:rsid w:val="00647F26"/>
    <w:rsid w:val="00661BF5"/>
    <w:rsid w:val="00787EE8"/>
    <w:rsid w:val="007F08ED"/>
    <w:rsid w:val="008765BE"/>
    <w:rsid w:val="008F610F"/>
    <w:rsid w:val="00920185"/>
    <w:rsid w:val="00A85D04"/>
    <w:rsid w:val="00AC5CC3"/>
    <w:rsid w:val="00AF77EF"/>
    <w:rsid w:val="00C16697"/>
    <w:rsid w:val="00C95106"/>
    <w:rsid w:val="00CA0008"/>
    <w:rsid w:val="00CB13EC"/>
    <w:rsid w:val="00CF3388"/>
    <w:rsid w:val="00D22789"/>
    <w:rsid w:val="00E663A6"/>
    <w:rsid w:val="00EE1EFD"/>
    <w:rsid w:val="00F6291A"/>
    <w:rsid w:val="00F81679"/>
    <w:rsid w:val="00F9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DE718-CD9F-435C-8D82-1CBC541F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NormalWeb">
    <w:name w:val="Normal (Web)"/>
    <w:basedOn w:val="Normal"/>
    <w:uiPriority w:val="99"/>
    <w:semiHidden/>
    <w:unhideWhenUsed/>
    <w:rsid w:val="00E663A6"/>
    <w:pPr>
      <w:spacing w:before="100" w:beforeAutospacing="1" w:after="100" w:afterAutospacing="1"/>
      <w:jc w:val="left"/>
    </w:pPr>
    <w:rPr>
      <w:rFonts w:eastAsia="Times New Roman"/>
      <w:lang w:eastAsia="en-GB"/>
    </w:rPr>
  </w:style>
  <w:style w:type="character" w:customStyle="1" w:styleId="apple-tab-span">
    <w:name w:val="apple-tab-span"/>
    <w:basedOn w:val="DefaultParagraphFont"/>
    <w:rsid w:val="00E6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70193">
      <w:bodyDiv w:val="1"/>
      <w:marLeft w:val="0"/>
      <w:marRight w:val="0"/>
      <w:marTop w:val="0"/>
      <w:marBottom w:val="0"/>
      <w:divBdr>
        <w:top w:val="none" w:sz="0" w:space="0" w:color="auto"/>
        <w:left w:val="none" w:sz="0" w:space="0" w:color="auto"/>
        <w:bottom w:val="none" w:sz="0" w:space="0" w:color="auto"/>
        <w:right w:val="none" w:sz="0" w:space="0" w:color="auto"/>
      </w:divBdr>
    </w:div>
    <w:div w:id="858274545">
      <w:bodyDiv w:val="1"/>
      <w:marLeft w:val="0"/>
      <w:marRight w:val="0"/>
      <w:marTop w:val="0"/>
      <w:marBottom w:val="0"/>
      <w:divBdr>
        <w:top w:val="none" w:sz="0" w:space="0" w:color="auto"/>
        <w:left w:val="none" w:sz="0" w:space="0" w:color="auto"/>
        <w:bottom w:val="none" w:sz="0" w:space="0" w:color="auto"/>
        <w:right w:val="none" w:sz="0" w:space="0" w:color="auto"/>
      </w:divBdr>
    </w:div>
    <w:div w:id="1143473454">
      <w:bodyDiv w:val="1"/>
      <w:marLeft w:val="0"/>
      <w:marRight w:val="0"/>
      <w:marTop w:val="0"/>
      <w:marBottom w:val="0"/>
      <w:divBdr>
        <w:top w:val="none" w:sz="0" w:space="0" w:color="auto"/>
        <w:left w:val="none" w:sz="0" w:space="0" w:color="auto"/>
        <w:bottom w:val="none" w:sz="0" w:space="0" w:color="auto"/>
        <w:right w:val="none" w:sz="0" w:space="0" w:color="auto"/>
      </w:divBdr>
    </w:div>
    <w:div w:id="1697196406">
      <w:bodyDiv w:val="1"/>
      <w:marLeft w:val="0"/>
      <w:marRight w:val="0"/>
      <w:marTop w:val="0"/>
      <w:marBottom w:val="0"/>
      <w:divBdr>
        <w:top w:val="none" w:sz="0" w:space="0" w:color="auto"/>
        <w:left w:val="none" w:sz="0" w:space="0" w:color="auto"/>
        <w:bottom w:val="none" w:sz="0" w:space="0" w:color="auto"/>
        <w:right w:val="none" w:sz="0" w:space="0" w:color="auto"/>
      </w:divBdr>
    </w:div>
    <w:div w:id="19067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HEER Simona</dc:creator>
  <cp:keywords/>
  <dc:description/>
  <cp:lastModifiedBy>BOVENDEAARD Myrthe</cp:lastModifiedBy>
  <cp:revision>5</cp:revision>
  <cp:lastPrinted>2021-04-16T15:03:00Z</cp:lastPrinted>
  <dcterms:created xsi:type="dcterms:W3CDTF">2021-04-19T10:22:00Z</dcterms:created>
  <dcterms:modified xsi:type="dcterms:W3CDTF">2021-04-19T14:04:00Z</dcterms:modified>
</cp:coreProperties>
</file>